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eastAsia="仿宋_GB2312"/>
          <w:sz w:val="32"/>
          <w:szCs w:val="32"/>
        </w:rPr>
      </w:pPr>
      <w:r>
        <w:rPr>
          <w:rFonts w:hint="eastAsia" w:eastAsia="黑体"/>
          <w:bCs/>
          <w:kern w:val="0"/>
          <w:sz w:val="32"/>
          <w:szCs w:val="32"/>
        </w:rPr>
        <w:t>附件</w:t>
      </w:r>
      <w:r>
        <w:rPr>
          <w:rFonts w:eastAsia="黑体"/>
          <w:bCs/>
          <w:kern w:val="0"/>
          <w:sz w:val="32"/>
          <w:szCs w:val="32"/>
        </w:rPr>
        <w:t>2-1</w:t>
      </w:r>
    </w:p>
    <w:p>
      <w:pPr>
        <w:widowControl/>
        <w:spacing w:beforeLines="100" w:afterLines="100" w:line="500" w:lineRule="exact"/>
        <w:jc w:val="center"/>
        <w:rPr>
          <w:rFonts w:eastAsia="方正小标宋_GBK"/>
          <w:color w:val="000000"/>
          <w:kern w:val="0"/>
          <w:sz w:val="36"/>
          <w:szCs w:val="36"/>
        </w:rPr>
      </w:pPr>
      <w:r>
        <w:rPr>
          <w:rFonts w:eastAsia="方正小标宋_GBK"/>
          <w:color w:val="000000"/>
          <w:kern w:val="0"/>
          <w:sz w:val="36"/>
          <w:szCs w:val="36"/>
        </w:rPr>
        <w:t>2021</w:t>
      </w:r>
      <w:r>
        <w:rPr>
          <w:rFonts w:hint="eastAsia" w:eastAsia="方正小标宋_GBK"/>
          <w:color w:val="000000"/>
          <w:kern w:val="0"/>
          <w:sz w:val="36"/>
          <w:szCs w:val="36"/>
        </w:rPr>
        <w:t>年项目支出绩效目标表</w:t>
      </w:r>
    </w:p>
    <w:tbl>
      <w:tblPr>
        <w:tblStyle w:val="2"/>
        <w:tblW w:w="903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1134"/>
        <w:gridCol w:w="1143"/>
        <w:gridCol w:w="1560"/>
        <w:gridCol w:w="955"/>
        <w:gridCol w:w="736"/>
        <w:gridCol w:w="16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9032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ind w:right="120"/>
              <w:jc w:val="left"/>
              <w:rPr>
                <w:rFonts w:ascii="仿宋_GB2312" w:hAnsi="仿宋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>填报单位：（盖章）</w:t>
            </w:r>
            <w:r>
              <w:rPr>
                <w:rFonts w:ascii="仿宋_GB2312" w:hAnsi="仿宋" w:eastAsia="仿宋_GB2312"/>
                <w:kern w:val="0"/>
                <w:sz w:val="24"/>
              </w:rPr>
              <w:t xml:space="preserve">   </w:t>
            </w:r>
            <w:r>
              <w:rPr>
                <w:rFonts w:hint="eastAsia" w:ascii="仿宋_GB2312" w:hAnsi="仿宋" w:eastAsia="仿宋_GB2312"/>
                <w:kern w:val="0"/>
                <w:sz w:val="24"/>
              </w:rPr>
              <w:t>邵阳市公路建设养护中心</w:t>
            </w:r>
            <w:r>
              <w:rPr>
                <w:rFonts w:ascii="仿宋_GB2312" w:hAnsi="仿宋" w:eastAsia="仿宋_GB2312"/>
                <w:kern w:val="0"/>
                <w:sz w:val="24"/>
              </w:rPr>
              <w:t xml:space="preserve">                                         </w:t>
            </w: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项目支出名称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公路、桥梁抢修专项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预算部门</w:t>
            </w:r>
          </w:p>
        </w:tc>
        <w:tc>
          <w:tcPr>
            <w:tcW w:w="335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邵阳市公路建设养护中心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年度本级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预算金额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/>
                <w:color w:val="000000"/>
                <w:kern w:val="0"/>
                <w:szCs w:val="21"/>
              </w:rPr>
              <w:t>210</w:t>
            </w:r>
          </w:p>
        </w:tc>
        <w:tc>
          <w:tcPr>
            <w:tcW w:w="25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该项目支出上级资金</w:t>
            </w:r>
          </w:p>
        </w:tc>
        <w:tc>
          <w:tcPr>
            <w:tcW w:w="23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/>
                <w:color w:val="000000"/>
                <w:kern w:val="0"/>
                <w:szCs w:val="21"/>
              </w:rPr>
              <w:t>210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（分级填报）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项目支出实施期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/>
                <w:color w:val="000000"/>
                <w:kern w:val="0"/>
                <w:szCs w:val="21"/>
              </w:rPr>
              <w:t>2021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年</w:t>
            </w:r>
            <w:r>
              <w:rPr>
                <w:rFonts w:ascii="仿宋_GB2312" w:eastAsia="仿宋_GB2312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月</w:t>
            </w:r>
            <w:r>
              <w:rPr>
                <w:rFonts w:ascii="仿宋_GB2312" w:eastAsia="仿宋_GB2312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日至</w:t>
            </w:r>
            <w:r>
              <w:rPr>
                <w:rFonts w:ascii="仿宋_GB2312" w:eastAsia="仿宋_GB2312"/>
                <w:color w:val="000000"/>
                <w:kern w:val="0"/>
                <w:szCs w:val="21"/>
              </w:rPr>
              <w:t>2021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年</w:t>
            </w:r>
            <w:r>
              <w:rPr>
                <w:rFonts w:ascii="仿宋_GB2312" w:eastAsia="仿宋_GB2312"/>
                <w:color w:val="000000"/>
                <w:kern w:val="0"/>
                <w:szCs w:val="21"/>
              </w:rPr>
              <w:t>12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月</w:t>
            </w:r>
            <w:r>
              <w:rPr>
                <w:rFonts w:ascii="仿宋_GB2312" w:eastAsia="仿宋_GB2312"/>
                <w:color w:val="000000"/>
                <w:kern w:val="0"/>
                <w:szCs w:val="21"/>
              </w:rPr>
              <w:t>31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实施期绩效目标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rPr>
                <w:rFonts w:ascii="仿宋_GB2312" w:hAnsi="仿宋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hAnsi="仿宋" w:eastAsia="仿宋_GB2312" w:cs="宋体"/>
                <w:color w:val="000000"/>
                <w:kern w:val="0"/>
                <w:sz w:val="24"/>
              </w:rPr>
              <w:t>1</w:t>
            </w:r>
            <w:r>
              <w:rPr>
                <w:rFonts w:hint="eastAsia" w:ascii="仿宋_GB2312" w:hAnsi="仿宋" w:eastAsia="仿宋_GB2312" w:cs="宋体"/>
                <w:color w:val="000000"/>
                <w:kern w:val="0"/>
                <w:sz w:val="24"/>
              </w:rPr>
              <w:t>、加强对桥梁的日常监管、养护和维修，确保桥梁的安全运营。</w:t>
            </w:r>
          </w:p>
          <w:p>
            <w:pPr>
              <w:widowControl/>
              <w:spacing w:line="260" w:lineRule="exact"/>
              <w:rPr>
                <w:rFonts w:ascii="??_GB2312" w:eastAsia="Times New Roman"/>
                <w:kern w:val="0"/>
                <w:szCs w:val="21"/>
              </w:rPr>
            </w:pPr>
            <w:r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  <w:t>2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、根据南方梅雨季节的特点，从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月到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  <w:t>9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月，是降雨最多和最大的月份。通过水毁公路抢修，确保公路在雨季能路况不下降，道路安全通行。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、保证本年度桥梁及其他构造物结构安全可靠，服务功能完善，行车舒适。</w:t>
            </w:r>
          </w:p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  <w:t>2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、路基缺口修复率、路面塌方清除率、路面淤泥清除率均达到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  <w:t>100%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，道路通行率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  <w:t>100%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。</w:t>
            </w:r>
            <w:r>
              <w:rPr>
                <w:rFonts w:hint="eastAsia" w:ascii="仿宋_GB2312" w:hAnsi="仿宋" w:eastAsia="仿宋_GB2312" w:cs="宋体"/>
                <w:color w:val="000000"/>
                <w:kern w:val="0"/>
                <w:sz w:val="24"/>
              </w:rPr>
              <w:t>。</w:t>
            </w:r>
            <w:r>
              <w:rPr>
                <w:rFonts w:ascii="??_GB2312" w:eastAsia="Times New Roman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</w:t>
            </w:r>
          </w:p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1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指标值及单位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仿宋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24"/>
              </w:rPr>
              <w:t>伸缩缝、泄水孔、护栏、锥坡、支座、信息牌、限载标志牌及危桥改造监管。</w:t>
            </w:r>
          </w:p>
          <w:p>
            <w:pPr>
              <w:widowControl/>
              <w:spacing w:line="260" w:lineRule="exact"/>
              <w:jc w:val="center"/>
              <w:rPr>
                <w:rFonts w:ascii="??_GB2312" w:eastAsia="Times New Roman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rPr>
                <w:rFonts w:ascii="仿宋_GB2312" w:hAnsi="仿宋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24"/>
              </w:rPr>
              <w:t>养护维修率</w:t>
            </w:r>
            <w:r>
              <w:rPr>
                <w:rFonts w:ascii="仿宋_GB2312" w:hAnsi="仿宋" w:eastAsia="仿宋_GB2312" w:cs="宋体"/>
                <w:color w:val="000000"/>
                <w:kern w:val="0"/>
                <w:sz w:val="24"/>
              </w:rPr>
              <w:t>100%</w:t>
            </w:r>
            <w:r>
              <w:rPr>
                <w:rFonts w:hint="eastAsia" w:ascii="仿宋_GB2312" w:hAnsi="仿宋" w:eastAsia="仿宋_GB2312" w:cs="宋体"/>
                <w:color w:val="000000"/>
                <w:kern w:val="0"/>
                <w:sz w:val="24"/>
              </w:rPr>
              <w:t>，危桥改造监督到位率</w:t>
            </w:r>
            <w:r>
              <w:rPr>
                <w:rFonts w:ascii="仿宋_GB2312" w:hAnsi="仿宋" w:eastAsia="仿宋_GB2312" w:cs="宋体"/>
                <w:color w:val="000000"/>
                <w:kern w:val="0"/>
                <w:sz w:val="24"/>
              </w:rPr>
              <w:t>100%</w:t>
            </w:r>
            <w:r>
              <w:rPr>
                <w:rFonts w:hint="eastAsia" w:ascii="仿宋_GB2312" w:hAnsi="仿宋" w:eastAsia="仿宋_GB2312" w:cs="宋体"/>
                <w:color w:val="000000"/>
                <w:kern w:val="0"/>
                <w:sz w:val="24"/>
              </w:rPr>
              <w:t>。</w:t>
            </w:r>
          </w:p>
          <w:p>
            <w:pPr>
              <w:widowControl/>
              <w:spacing w:line="260" w:lineRule="exact"/>
              <w:rPr>
                <w:rFonts w:ascii="??_GB2312" w:eastAsia="Times New Roman"/>
                <w:kern w:val="0"/>
                <w:szCs w:val="21"/>
              </w:rPr>
            </w:pPr>
            <w:r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  <w:t>%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桥梁各项指标达到指标值</w:t>
            </w:r>
          </w:p>
          <w:p>
            <w:pPr>
              <w:widowControl/>
              <w:spacing w:line="260" w:lineRule="exact"/>
              <w:rPr>
                <w:rFonts w:ascii="??_GB2312" w:eastAsia="Times New Roman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??_GB2312" w:eastAsia="Times New Roman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路基缺口修复、路面塌方清除、路面淤泥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rPr>
                <w:rFonts w:ascii="??_GB2312" w:eastAsia="Times New Roman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路基缺口修复率、路面塌方清除率、路面淤泥清除率均达到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  <w:t>100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rPr>
                <w:rFonts w:ascii="??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路基、路面抢修达到指标值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??_GB2312" w:eastAsia="Times New Roman"/>
                <w:kern w:val="0"/>
                <w:szCs w:val="21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24"/>
              </w:rPr>
              <w:t>伸缩缝、泄水孔、护栏、锥坡、支座、信息牌、限载标志牌及危桥改造监管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rPr>
                <w:rFonts w:ascii="??_GB2312" w:eastAsia="Times New Roman"/>
                <w:kern w:val="0"/>
                <w:szCs w:val="21"/>
              </w:rPr>
            </w:pPr>
            <w:r>
              <w:rPr>
                <w:rFonts w:ascii="??_GB2312" w:eastAsia="Times New Roman"/>
                <w:kern w:val="0"/>
                <w:szCs w:val="21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质量达到优良大于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  <w:t>85%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rPr>
                <w:rFonts w:ascii="??_GB2312" w:eastAsia="Times New Roman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质量达到优良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??_GB2312" w:eastAsia="Times New Roman"/>
                <w:kern w:val="0"/>
                <w:szCs w:val="21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24"/>
              </w:rPr>
              <w:t>路基路面水毁抢修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rPr>
                <w:rFonts w:ascii="??_GB2312" w:eastAsia="Times New Roman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　质量达到优良质量达到优良大于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  <w:t>85%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rPr>
                <w:rFonts w:ascii="??_GB2312" w:eastAsia="Times New Roman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质量达到优良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??_GB2312"/>
                <w:kern w:val="0"/>
                <w:szCs w:val="21"/>
              </w:rPr>
            </w:pPr>
            <w:r>
              <w:rPr>
                <w:rFonts w:hint="eastAsia" w:ascii="??_GB2312"/>
                <w:kern w:val="0"/>
                <w:szCs w:val="21"/>
              </w:rPr>
              <w:t>桥梁日常监管养护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rPr>
                <w:rFonts w:ascii="??_GB2312" w:eastAsia="Times New Roman"/>
                <w:kern w:val="0"/>
                <w:szCs w:val="21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24"/>
              </w:rPr>
              <w:t>桥梁完好率达到</w:t>
            </w:r>
            <w:r>
              <w:rPr>
                <w:rFonts w:ascii="仿宋_GB2312" w:hAnsi="仿宋" w:eastAsia="仿宋_GB2312" w:cs="宋体"/>
                <w:color w:val="000000"/>
                <w:kern w:val="0"/>
                <w:sz w:val="24"/>
              </w:rPr>
              <w:t>100%</w:t>
            </w:r>
            <w:r>
              <w:rPr>
                <w:rFonts w:hint="eastAsia" w:ascii="仿宋_GB2312" w:hAnsi="仿宋" w:eastAsia="仿宋_GB2312" w:cs="宋体"/>
                <w:color w:val="000000"/>
                <w:kern w:val="0"/>
                <w:sz w:val="24"/>
              </w:rPr>
              <w:t>、监管率</w:t>
            </w:r>
            <w:r>
              <w:rPr>
                <w:rFonts w:ascii="仿宋_GB2312" w:hAnsi="仿宋" w:eastAsia="仿宋_GB2312" w:cs="宋体"/>
                <w:color w:val="000000"/>
                <w:kern w:val="0"/>
                <w:sz w:val="24"/>
              </w:rPr>
              <w:t>100%</w:t>
            </w:r>
            <w:r>
              <w:rPr>
                <w:rFonts w:hint="eastAsia" w:ascii="仿宋_GB2312" w:hAnsi="仿宋" w:eastAsia="仿宋_GB2312" w:cs="宋体"/>
                <w:color w:val="000000"/>
                <w:kern w:val="0"/>
                <w:sz w:val="24"/>
              </w:rPr>
              <w:t>。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rPr>
                <w:rFonts w:ascii="??_GB2312" w:eastAsia="Times New Roman"/>
                <w:kern w:val="0"/>
                <w:szCs w:val="21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24"/>
              </w:rPr>
              <w:t>桥梁完好率达到</w:t>
            </w:r>
            <w:r>
              <w:rPr>
                <w:rFonts w:ascii="仿宋_GB2312" w:hAnsi="仿宋" w:eastAsia="仿宋_GB2312" w:cs="宋体"/>
                <w:color w:val="000000"/>
                <w:kern w:val="0"/>
                <w:sz w:val="24"/>
              </w:rPr>
              <w:t>100%</w:t>
            </w:r>
            <w:r>
              <w:rPr>
                <w:rFonts w:hint="eastAsia" w:ascii="仿宋_GB2312" w:hAnsi="仿宋" w:eastAsia="仿宋_GB2312" w:cs="宋体"/>
                <w:color w:val="000000"/>
                <w:kern w:val="0"/>
                <w:sz w:val="24"/>
              </w:rPr>
              <w:t>、监管率</w:t>
            </w:r>
            <w:r>
              <w:rPr>
                <w:rFonts w:ascii="仿宋_GB2312" w:hAnsi="仿宋" w:eastAsia="仿宋_GB2312" w:cs="宋体"/>
                <w:color w:val="000000"/>
                <w:kern w:val="0"/>
                <w:sz w:val="24"/>
              </w:rPr>
              <w:t>100%</w:t>
            </w:r>
            <w:r>
              <w:rPr>
                <w:rFonts w:hint="eastAsia" w:ascii="仿宋_GB2312" w:hAnsi="仿宋" w:eastAsia="仿宋_GB2312" w:cs="宋体"/>
                <w:color w:val="000000"/>
                <w:kern w:val="0"/>
                <w:sz w:val="24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??_GB2312" w:eastAsia="Times New Roman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路基缺口修复、路面塌方清除、路面淤泥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处置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  <w:t>100%</w:t>
            </w:r>
          </w:p>
          <w:p>
            <w:pPr>
              <w:widowControl/>
              <w:spacing w:line="260" w:lineRule="exact"/>
              <w:rPr>
                <w:rFonts w:ascii="??_GB2312" w:eastAsia="Times New Roman"/>
                <w:kern w:val="0"/>
                <w:szCs w:val="21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发生灾情，第一时间处置，确保道路通行。</w:t>
            </w:r>
          </w:p>
          <w:p>
            <w:pPr>
              <w:widowControl/>
              <w:spacing w:line="260" w:lineRule="exact"/>
              <w:rPr>
                <w:rFonts w:ascii="??_GB2312" w:eastAsia="Times New Roman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??_GB2312" w:eastAsia="Times New Roman"/>
                <w:kern w:val="0"/>
                <w:szCs w:val="21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24"/>
              </w:rPr>
              <w:t>伸缩缝、泄水孔、护栏、锥坡、支座、信息牌、限载标志牌及危桥改造监管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rPr>
                <w:rFonts w:ascii="??_GB2312"/>
                <w:kern w:val="0"/>
                <w:szCs w:val="21"/>
              </w:rPr>
            </w:pPr>
            <w:r>
              <w:rPr>
                <w:rFonts w:ascii="??_GB2312"/>
                <w:kern w:val="0"/>
                <w:szCs w:val="21"/>
              </w:rPr>
              <w:t>110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rPr>
                <w:rFonts w:ascii="??_GB2312" w:eastAsia="Times New Roman"/>
                <w:kern w:val="0"/>
                <w:szCs w:val="21"/>
              </w:rPr>
            </w:pPr>
            <w:r>
              <w:rPr>
                <w:rFonts w:hint="eastAsia" w:ascii="??_GB2312"/>
                <w:kern w:val="0"/>
                <w:szCs w:val="21"/>
              </w:rPr>
              <w:t>不超全年预算经费</w:t>
            </w:r>
            <w:r>
              <w:rPr>
                <w:rFonts w:ascii="??_GB2312" w:eastAsia="Times New Roman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??_GB2312"/>
                <w:kern w:val="0"/>
                <w:szCs w:val="21"/>
              </w:rPr>
            </w:pPr>
            <w:r>
              <w:rPr>
                <w:rFonts w:hint="eastAsia" w:ascii="??_GB2312"/>
                <w:kern w:val="0"/>
                <w:szCs w:val="21"/>
              </w:rPr>
              <w:t>水毁抢修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rPr>
                <w:rFonts w:ascii="??_GB2312"/>
                <w:kern w:val="0"/>
                <w:szCs w:val="21"/>
              </w:rPr>
            </w:pPr>
            <w:r>
              <w:rPr>
                <w:rFonts w:ascii="??_GB2312" w:eastAsia="Times New Roman"/>
                <w:kern w:val="0"/>
                <w:szCs w:val="21"/>
              </w:rPr>
              <w:t>　</w:t>
            </w:r>
            <w:r>
              <w:rPr>
                <w:rFonts w:ascii="??_GB2312"/>
                <w:kern w:val="0"/>
                <w:szCs w:val="21"/>
              </w:rPr>
              <w:t>100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rPr>
                <w:rFonts w:ascii="??_GB2312"/>
                <w:kern w:val="0"/>
                <w:szCs w:val="21"/>
              </w:rPr>
            </w:pPr>
            <w:r>
              <w:rPr>
                <w:rFonts w:ascii="??_GB2312" w:eastAsia="Times New Roman"/>
                <w:kern w:val="0"/>
                <w:szCs w:val="21"/>
              </w:rPr>
              <w:t>　</w:t>
            </w:r>
            <w:r>
              <w:rPr>
                <w:rFonts w:hint="eastAsia" w:ascii="??_GB2312"/>
                <w:kern w:val="0"/>
                <w:szCs w:val="21"/>
              </w:rPr>
              <w:t>不超全年预算经费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经济效益指标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??_GB2312" w:eastAsia="Times New Roman"/>
                <w:kern w:val="0"/>
                <w:szCs w:val="21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24"/>
              </w:rPr>
              <w:t>及时修复，不扩大病害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60" w:lineRule="exact"/>
              <w:rPr>
                <w:rFonts w:ascii="??_GB2312" w:eastAsia="Times New Roman"/>
                <w:kern w:val="0"/>
                <w:szCs w:val="21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24"/>
              </w:rPr>
              <w:t>桥梁完好率达到</w:t>
            </w:r>
            <w:r>
              <w:rPr>
                <w:rFonts w:ascii="仿宋_GB2312" w:hAnsi="仿宋" w:eastAsia="仿宋_GB2312" w:cs="宋体"/>
                <w:color w:val="000000"/>
                <w:kern w:val="0"/>
                <w:sz w:val="24"/>
              </w:rPr>
              <w:t>100%</w:t>
            </w:r>
            <w:r>
              <w:rPr>
                <w:rFonts w:hint="eastAsia" w:ascii="仿宋_GB2312" w:hAnsi="仿宋" w:eastAsia="仿宋_GB2312" w:cs="宋体"/>
                <w:color w:val="000000"/>
                <w:kern w:val="0"/>
                <w:sz w:val="24"/>
              </w:rPr>
              <w:t>、监管率</w:t>
            </w:r>
            <w:r>
              <w:rPr>
                <w:rFonts w:ascii="仿宋_GB2312" w:hAnsi="仿宋" w:eastAsia="仿宋_GB2312" w:cs="宋体"/>
                <w:color w:val="000000"/>
                <w:kern w:val="0"/>
                <w:sz w:val="24"/>
              </w:rPr>
              <w:t>100%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60" w:lineRule="exact"/>
              <w:rPr>
                <w:rFonts w:ascii="??_GB2312" w:eastAsia="Times New Roman"/>
                <w:kern w:val="0"/>
                <w:szCs w:val="21"/>
              </w:rPr>
            </w:pPr>
            <w:r>
              <w:rPr>
                <w:rFonts w:ascii="??_GB2312" w:eastAsia="Times New Roman"/>
                <w:kern w:val="0"/>
                <w:szCs w:val="21"/>
              </w:rPr>
              <w:t>　</w:t>
            </w:r>
            <w:r>
              <w:rPr>
                <w:rFonts w:hint="eastAsia" w:ascii="仿宋_GB2312" w:hAnsi="仿宋" w:eastAsia="仿宋_GB2312" w:cs="宋体"/>
                <w:color w:val="000000"/>
                <w:kern w:val="0"/>
                <w:sz w:val="24"/>
              </w:rPr>
              <w:t>桥梁完好率达到</w:t>
            </w:r>
            <w:r>
              <w:rPr>
                <w:rFonts w:ascii="仿宋_GB2312" w:hAnsi="仿宋" w:eastAsia="仿宋_GB2312" w:cs="宋体"/>
                <w:color w:val="000000"/>
                <w:kern w:val="0"/>
                <w:sz w:val="24"/>
              </w:rPr>
              <w:t>100%</w:t>
            </w:r>
            <w:r>
              <w:rPr>
                <w:rFonts w:hint="eastAsia" w:ascii="仿宋_GB2312" w:hAnsi="仿宋" w:eastAsia="仿宋_GB2312" w:cs="宋体"/>
                <w:color w:val="000000"/>
                <w:kern w:val="0"/>
                <w:sz w:val="24"/>
              </w:rPr>
              <w:t>、监管率</w:t>
            </w:r>
            <w:r>
              <w:rPr>
                <w:rFonts w:ascii="仿宋_GB2312" w:hAnsi="仿宋" w:eastAsia="仿宋_GB2312" w:cs="宋体"/>
                <w:color w:val="000000"/>
                <w:kern w:val="0"/>
                <w:sz w:val="24"/>
              </w:rPr>
              <w:t>100%</w:t>
            </w:r>
            <w:r>
              <w:rPr>
                <w:rFonts w:hint="eastAsia" w:ascii="仿宋_GB2312" w:hAnsi="仿宋" w:eastAsia="仿宋_GB2312" w:cs="宋体"/>
                <w:color w:val="000000"/>
                <w:kern w:val="0"/>
                <w:sz w:val="24"/>
              </w:rPr>
              <w:t>全舒适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??_GB2312" w:eastAsia="Times New Roman"/>
                <w:kern w:val="0"/>
                <w:szCs w:val="21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24"/>
              </w:rPr>
              <w:t>及时修复，不扩大灾情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60" w:lineRule="exact"/>
              <w:rPr>
                <w:rFonts w:ascii="??_GB2312"/>
                <w:kern w:val="0"/>
                <w:szCs w:val="21"/>
              </w:rPr>
            </w:pPr>
            <w:r>
              <w:rPr>
                <w:rFonts w:hint="eastAsia" w:ascii="??_GB2312"/>
                <w:kern w:val="0"/>
                <w:szCs w:val="21"/>
              </w:rPr>
              <w:t>使灾害损失降到最低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60" w:lineRule="exact"/>
              <w:rPr>
                <w:rFonts w:ascii="??_GB2312" w:eastAsia="Times New Roman"/>
                <w:kern w:val="0"/>
                <w:szCs w:val="21"/>
              </w:rPr>
            </w:pPr>
            <w:r>
              <w:rPr>
                <w:rFonts w:hint="eastAsia" w:ascii="??_GB2312"/>
                <w:kern w:val="0"/>
                <w:szCs w:val="21"/>
              </w:rPr>
              <w:t>使灾害损失降到最低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??_GB2312" w:eastAsia="Times New Roman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确保车辆便捷、舒适、安全行驶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rPr>
                <w:rFonts w:ascii="??_GB2312" w:eastAsia="Times New Roman"/>
                <w:kern w:val="0"/>
                <w:szCs w:val="21"/>
              </w:rPr>
            </w:pPr>
            <w:r>
              <w:rPr>
                <w:rFonts w:ascii="??_GB2312" w:eastAsia="Times New Roman"/>
                <w:kern w:val="0"/>
                <w:szCs w:val="21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　公众出行满意度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  <w:t>&gt;=95%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rPr>
                <w:rFonts w:ascii="??_GB2312" w:eastAsia="Times New Roman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公众出行基本满意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??_GB2312" w:eastAsia="Times New Roman"/>
                <w:kern w:val="0"/>
                <w:szCs w:val="21"/>
              </w:rPr>
            </w:pP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rPr>
                <w:rFonts w:ascii="??_GB2312" w:eastAsia="Times New Roman"/>
                <w:kern w:val="0"/>
                <w:szCs w:val="21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rPr>
                <w:rFonts w:ascii="??_GB2312" w:eastAsia="Times New Roman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生态效益指标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??_GB2312"/>
                <w:kern w:val="0"/>
                <w:szCs w:val="21"/>
              </w:rPr>
            </w:pPr>
            <w:r>
              <w:rPr>
                <w:rFonts w:hint="eastAsia" w:ascii="??_GB2312"/>
                <w:kern w:val="0"/>
                <w:szCs w:val="21"/>
              </w:rPr>
              <w:t>使用绿色低碳环保的材料，推广新技术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rPr>
                <w:rFonts w:ascii="??_GB2312"/>
                <w:kern w:val="0"/>
                <w:szCs w:val="21"/>
              </w:rPr>
            </w:pPr>
            <w:r>
              <w:rPr>
                <w:rFonts w:ascii="??_GB2312" w:eastAsia="Times New Roman"/>
                <w:kern w:val="0"/>
                <w:szCs w:val="21"/>
              </w:rPr>
              <w:t>　</w:t>
            </w:r>
            <w:r>
              <w:rPr>
                <w:rFonts w:hint="eastAsia" w:ascii="??_GB2312"/>
                <w:kern w:val="0"/>
                <w:szCs w:val="21"/>
              </w:rPr>
              <w:t>污染率为</w:t>
            </w:r>
            <w:r>
              <w:rPr>
                <w:rFonts w:ascii="??_GB2312"/>
                <w:kern w:val="0"/>
                <w:szCs w:val="21"/>
              </w:rPr>
              <w:t>0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rPr>
                <w:rFonts w:ascii="??_GB2312"/>
                <w:kern w:val="0"/>
                <w:szCs w:val="21"/>
              </w:rPr>
            </w:pPr>
            <w:r>
              <w:rPr>
                <w:rFonts w:ascii="??_GB2312" w:eastAsia="Times New Roman"/>
                <w:kern w:val="0"/>
                <w:szCs w:val="21"/>
              </w:rPr>
              <w:t>　</w:t>
            </w:r>
            <w:r>
              <w:rPr>
                <w:rFonts w:hint="eastAsia" w:ascii="??_GB2312"/>
                <w:kern w:val="0"/>
                <w:szCs w:val="21"/>
              </w:rPr>
              <w:t>环境无污染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rPr>
                <w:rFonts w:ascii="仿宋_GB2312" w:hAnsi="仿宋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24"/>
              </w:rPr>
              <w:t>　　加强日常养护和预防性养护，及时消除桥梁病害，强化监管，延长桥梁的使用寿命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60" w:lineRule="exact"/>
              <w:rPr>
                <w:rFonts w:ascii="??_GB2312"/>
                <w:kern w:val="0"/>
                <w:szCs w:val="21"/>
              </w:rPr>
            </w:pPr>
            <w:r>
              <w:rPr>
                <w:rFonts w:ascii="??_GB2312" w:eastAsia="Times New Roman"/>
                <w:kern w:val="0"/>
                <w:szCs w:val="21"/>
              </w:rPr>
              <w:t>　</w:t>
            </w:r>
            <w:r>
              <w:rPr>
                <w:rFonts w:hint="eastAsia" w:ascii="??_GB2312"/>
                <w:kern w:val="0"/>
                <w:szCs w:val="21"/>
              </w:rPr>
              <w:t>病害为</w:t>
            </w:r>
            <w:r>
              <w:rPr>
                <w:rFonts w:ascii="??_GB2312"/>
                <w:kern w:val="0"/>
                <w:szCs w:val="21"/>
              </w:rPr>
              <w:t>0</w:t>
            </w:r>
            <w:r>
              <w:rPr>
                <w:rFonts w:hint="eastAsia" w:ascii="??_GB2312"/>
                <w:kern w:val="0"/>
                <w:szCs w:val="21"/>
              </w:rPr>
              <w:t>，隐患清</w:t>
            </w:r>
            <w:r>
              <w:rPr>
                <w:rFonts w:ascii="??_GB2312"/>
                <w:kern w:val="0"/>
                <w:szCs w:val="21"/>
              </w:rPr>
              <w:t>0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60" w:lineRule="exact"/>
              <w:rPr>
                <w:rFonts w:ascii="??_GB2312"/>
                <w:kern w:val="0"/>
                <w:szCs w:val="21"/>
              </w:rPr>
            </w:pPr>
            <w:r>
              <w:rPr>
                <w:rFonts w:ascii="??_GB2312" w:eastAsia="Times New Roman"/>
                <w:kern w:val="0"/>
                <w:szCs w:val="21"/>
              </w:rPr>
              <w:t>　</w:t>
            </w:r>
            <w:r>
              <w:rPr>
                <w:rFonts w:hint="eastAsia" w:ascii="??_GB2312"/>
                <w:kern w:val="0"/>
                <w:szCs w:val="21"/>
              </w:rPr>
              <w:t>道路无病害，无安全隐患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仿宋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24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及时清除路面淤泥、清除路面塌方、设置必要的安全标志标牌、修复路基路面小型缺口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60" w:lineRule="exact"/>
              <w:rPr>
                <w:rFonts w:ascii="??_GB2312" w:eastAsia="Times New Roman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保证车辆安全舒适通行、公众满意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  <w:t>&gt;=95%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60" w:lineRule="exact"/>
              <w:rPr>
                <w:rFonts w:ascii="??_GB2312" w:eastAsia="Times New Roman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保证车辆安全舒适通行、公众满意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社会公众或服务对象满意度指标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??_GB2312"/>
                <w:kern w:val="0"/>
                <w:szCs w:val="21"/>
              </w:rPr>
            </w:pPr>
            <w:r>
              <w:rPr>
                <w:rFonts w:hint="eastAsia" w:ascii="??_GB2312"/>
                <w:kern w:val="0"/>
                <w:szCs w:val="21"/>
              </w:rPr>
              <w:t>公众出行行车安全舒适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rPr>
                <w:rFonts w:ascii="??_GB2312" w:eastAsia="Times New Roman"/>
                <w:kern w:val="0"/>
                <w:szCs w:val="21"/>
              </w:rPr>
            </w:pPr>
            <w:r>
              <w:rPr>
                <w:rFonts w:ascii="??_GB2312" w:eastAsia="Times New Roman"/>
                <w:kern w:val="0"/>
                <w:szCs w:val="21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　公众出行满意度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  <w:t>&gt;=95%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rPr>
                <w:rFonts w:ascii="??_GB2312"/>
                <w:kern w:val="0"/>
                <w:szCs w:val="21"/>
              </w:rPr>
            </w:pPr>
            <w:r>
              <w:rPr>
                <w:rFonts w:ascii="??_GB2312" w:eastAsia="Times New Roman"/>
                <w:kern w:val="0"/>
                <w:szCs w:val="21"/>
              </w:rPr>
              <w:t>　</w:t>
            </w:r>
            <w:r>
              <w:rPr>
                <w:rFonts w:hint="eastAsia" w:ascii="??_GB2312"/>
                <w:kern w:val="0"/>
                <w:szCs w:val="21"/>
              </w:rPr>
              <w:t>公众基本满意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</w:tbl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ascii="仿宋_GB2312" w:eastAsia="仿宋_GB2312"/>
          <w:kern w:val="0"/>
          <w:szCs w:val="21"/>
        </w:rPr>
      </w:pPr>
    </w:p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ascii="仿宋_GB2312" w:eastAsia="仿宋_GB2312"/>
          <w:kern w:val="0"/>
          <w:szCs w:val="21"/>
        </w:rPr>
      </w:pPr>
      <w:r>
        <w:rPr>
          <w:rFonts w:hint="eastAsia" w:ascii="仿宋_GB2312" w:eastAsia="仿宋_GB2312"/>
          <w:kern w:val="0"/>
          <w:szCs w:val="21"/>
        </w:rPr>
        <w:t>填表人：吕云平</w:t>
      </w:r>
      <w:r>
        <w:rPr>
          <w:rFonts w:ascii="仿宋_GB2312" w:eastAsia="仿宋_GB2312"/>
          <w:kern w:val="0"/>
          <w:szCs w:val="21"/>
        </w:rPr>
        <w:t xml:space="preserve">     </w:t>
      </w:r>
      <w:r>
        <w:rPr>
          <w:rFonts w:hint="eastAsia" w:ascii="仿宋_GB2312" w:eastAsia="仿宋_GB2312"/>
          <w:kern w:val="0"/>
          <w:szCs w:val="21"/>
        </w:rPr>
        <w:t>联系电话：</w:t>
      </w:r>
      <w:r>
        <w:rPr>
          <w:rFonts w:ascii="仿宋_GB2312" w:eastAsia="仿宋_GB2312"/>
          <w:kern w:val="0"/>
          <w:szCs w:val="21"/>
        </w:rPr>
        <w:t xml:space="preserve"> 13873911968         </w:t>
      </w:r>
      <w:r>
        <w:rPr>
          <w:rFonts w:hint="eastAsia" w:ascii="仿宋_GB2312" w:eastAsia="仿宋_GB2312"/>
          <w:kern w:val="0"/>
          <w:szCs w:val="21"/>
        </w:rPr>
        <w:t>填报日期：</w:t>
      </w:r>
      <w:r>
        <w:rPr>
          <w:rFonts w:ascii="仿宋_GB2312" w:eastAsia="仿宋_GB2312"/>
          <w:kern w:val="0"/>
          <w:szCs w:val="21"/>
        </w:rPr>
        <w:t xml:space="preserve">2020-12-30           </w:t>
      </w:r>
      <w:r>
        <w:rPr>
          <w:rFonts w:hint="eastAsia" w:ascii="仿宋_GB2312" w:eastAsia="仿宋_GB2312"/>
          <w:kern w:val="0"/>
          <w:szCs w:val="21"/>
        </w:rPr>
        <w:t>单位负责人签字：</w:t>
      </w:r>
    </w:p>
    <w:p>
      <w:pPr>
        <w:widowControl/>
        <w:spacing w:line="600" w:lineRule="exact"/>
        <w:jc w:val="left"/>
        <w:rPr>
          <w:rFonts w:eastAsia="黑体"/>
          <w:bCs/>
          <w:kern w:val="0"/>
          <w:sz w:val="32"/>
          <w:szCs w:val="32"/>
        </w:rPr>
      </w:pPr>
      <w:r>
        <w:rPr>
          <w:rFonts w:ascii="仿宋_GB2312" w:eastAsia="仿宋_GB2312"/>
          <w:bCs/>
          <w:kern w:val="0"/>
          <w:sz w:val="32"/>
          <w:szCs w:val="32"/>
        </w:rPr>
        <w:br w:type="page"/>
      </w:r>
      <w:r>
        <w:rPr>
          <w:rFonts w:hint="eastAsia" w:eastAsia="黑体"/>
          <w:bCs/>
          <w:kern w:val="0"/>
          <w:sz w:val="32"/>
          <w:szCs w:val="32"/>
        </w:rPr>
        <w:t>附件</w:t>
      </w:r>
      <w:r>
        <w:rPr>
          <w:rFonts w:eastAsia="黑体"/>
          <w:bCs/>
          <w:kern w:val="0"/>
          <w:sz w:val="32"/>
          <w:szCs w:val="32"/>
        </w:rPr>
        <w:t>2-2</w:t>
      </w:r>
    </w:p>
    <w:p>
      <w:pPr>
        <w:widowControl/>
        <w:spacing w:beforeLines="100" w:afterLines="100" w:line="600" w:lineRule="exact"/>
        <w:jc w:val="center"/>
        <w:rPr>
          <w:rFonts w:eastAsia="方正小标宋_GBK"/>
          <w:bCs/>
          <w:kern w:val="0"/>
          <w:sz w:val="36"/>
          <w:szCs w:val="36"/>
        </w:rPr>
      </w:pPr>
      <w:r>
        <w:rPr>
          <w:rFonts w:hint="eastAsia" w:eastAsia="方正小标宋_GBK"/>
          <w:bCs/>
          <w:kern w:val="0"/>
          <w:sz w:val="36"/>
          <w:szCs w:val="36"/>
        </w:rPr>
        <w:t>项目支出绩效目标表编报说明</w:t>
      </w:r>
    </w:p>
    <w:p>
      <w:pPr>
        <w:spacing w:line="600" w:lineRule="exact"/>
        <w:ind w:firstLine="640" w:firstLineChars="200"/>
        <w:rPr>
          <w:rFonts w:eastAsia="仿宋_GB2312"/>
          <w:color w:val="000000"/>
          <w:kern w:val="0"/>
          <w:sz w:val="32"/>
          <w:szCs w:val="32"/>
        </w:rPr>
      </w:pPr>
      <w:r>
        <w:rPr>
          <w:sz w:val="32"/>
          <w:szCs w:val="32"/>
        </w:rPr>
        <w:t>1</w:t>
      </w:r>
      <w:r>
        <w:rPr>
          <w:rFonts w:hint="eastAsia"/>
          <w:sz w:val="32"/>
          <w:szCs w:val="32"/>
        </w:rPr>
        <w:t>、</w:t>
      </w:r>
      <w:r>
        <w:rPr>
          <w:rFonts w:hint="eastAsia" w:eastAsia="仿宋_GB2312"/>
          <w:color w:val="000000"/>
          <w:kern w:val="0"/>
          <w:sz w:val="32"/>
          <w:szCs w:val="32"/>
        </w:rPr>
        <w:t>填报单位（盖章）：加盖填报单位公章。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bCs/>
          <w:kern w:val="0"/>
          <w:sz w:val="32"/>
          <w:szCs w:val="32"/>
        </w:rPr>
      </w:pPr>
      <w:r>
        <w:rPr>
          <w:rFonts w:eastAsia="仿宋_GB2312"/>
          <w:bCs/>
          <w:kern w:val="0"/>
          <w:sz w:val="32"/>
          <w:szCs w:val="32"/>
        </w:rPr>
        <w:t>2</w:t>
      </w:r>
      <w:r>
        <w:rPr>
          <w:rFonts w:hint="eastAsia" w:eastAsia="仿宋_GB2312"/>
          <w:bCs/>
          <w:kern w:val="0"/>
          <w:sz w:val="32"/>
          <w:szCs w:val="32"/>
        </w:rPr>
        <w:t>、项目支出名称：填写规范的项目支出名称。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bCs/>
          <w:kern w:val="0"/>
          <w:sz w:val="32"/>
          <w:szCs w:val="32"/>
        </w:rPr>
        <w:t>3</w:t>
      </w:r>
      <w:r>
        <w:rPr>
          <w:rFonts w:hint="eastAsia" w:eastAsia="仿宋_GB2312"/>
          <w:bCs/>
          <w:kern w:val="0"/>
          <w:sz w:val="32"/>
          <w:szCs w:val="32"/>
        </w:rPr>
        <w:t>、预算部门：</w:t>
      </w:r>
      <w:r>
        <w:rPr>
          <w:rFonts w:hint="eastAsia" w:eastAsia="仿宋_GB2312"/>
          <w:sz w:val="32"/>
          <w:szCs w:val="32"/>
        </w:rPr>
        <w:t>填写项目支出的主管部门全称。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4</w:t>
      </w:r>
      <w:r>
        <w:rPr>
          <w:rFonts w:hint="eastAsia" w:eastAsia="仿宋_GB2312"/>
          <w:sz w:val="32"/>
          <w:szCs w:val="32"/>
        </w:rPr>
        <w:t>、年度本级预算金额：本年度该项目支出本级预算总金额</w:t>
      </w:r>
      <w:r>
        <w:rPr>
          <w:rFonts w:hint="eastAsia" w:eastAsia="仿宋_GB2312"/>
          <w:bCs/>
          <w:kern w:val="0"/>
          <w:sz w:val="32"/>
          <w:szCs w:val="32"/>
        </w:rPr>
        <w:t>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5</w:t>
      </w:r>
      <w:r>
        <w:rPr>
          <w:rFonts w:hint="eastAsia" w:eastAsia="仿宋_GB2312"/>
          <w:sz w:val="32"/>
          <w:szCs w:val="32"/>
        </w:rPr>
        <w:t>、该项目支出上级资金：预算年度项目支出获得上级财政资金总额，市、县要按中央、省（市）分别填报。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6</w:t>
      </w:r>
      <w:r>
        <w:rPr>
          <w:rFonts w:hint="eastAsia" w:eastAsia="仿宋_GB2312"/>
          <w:sz w:val="32"/>
          <w:szCs w:val="32"/>
        </w:rPr>
        <w:t>、项目支出实施期：按照报同级政府审定的项目支出设置情况填写。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7</w:t>
      </w:r>
      <w:r>
        <w:rPr>
          <w:rFonts w:hint="eastAsia" w:eastAsia="仿宋_GB2312"/>
          <w:sz w:val="32"/>
          <w:szCs w:val="32"/>
        </w:rPr>
        <w:t>、实施期绩效目标：概括描述该项目支出整个实施期内的总体产出和效益。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8</w:t>
      </w:r>
      <w:r>
        <w:rPr>
          <w:rFonts w:hint="eastAsia" w:eastAsia="仿宋_GB2312"/>
          <w:sz w:val="32"/>
          <w:szCs w:val="32"/>
        </w:rPr>
        <w:t>、本年度绩效目标：概括描述该项目支出本年度计划达到的产出和效益。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9</w:t>
      </w:r>
      <w:r>
        <w:rPr>
          <w:rFonts w:hint="eastAsia" w:eastAsia="仿宋_GB2312"/>
          <w:sz w:val="32"/>
          <w:szCs w:val="32"/>
        </w:rPr>
        <w:t>、绩效指标：对支出方向绩效目标的细化和量化，具体解释见后。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10</w:t>
      </w:r>
      <w:r>
        <w:rPr>
          <w:rFonts w:hint="eastAsia" w:eastAsia="仿宋_GB2312"/>
          <w:sz w:val="32"/>
          <w:szCs w:val="32"/>
        </w:rPr>
        <w:t>、绩效标准：设定绩效指标值时依据或参考的标准，一般包括：历史标准，是指同类指标的历史数据等；行业标准，是指国家公布的行业指标数据等；计划标准，是指预先制定的目标、计划、预算、定额等数据；财政部门和预算部门确认或认可的其他标准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11</w:t>
      </w:r>
      <w:r>
        <w:rPr>
          <w:rFonts w:hint="eastAsia" w:eastAsia="仿宋_GB2312"/>
          <w:sz w:val="32"/>
          <w:szCs w:val="32"/>
        </w:rPr>
        <w:t>、产出指标：反映支出方向根据既定目标计划完成的产品和服务情况。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12</w:t>
      </w:r>
      <w:r>
        <w:rPr>
          <w:rFonts w:hint="eastAsia" w:eastAsia="仿宋_GB2312"/>
          <w:sz w:val="32"/>
          <w:szCs w:val="32"/>
        </w:rPr>
        <w:t>、数量指标：反映支出方向预算年度内计划完成的产品或提供的服务数量。如支持学前教育发展资金：</w:t>
      </w:r>
    </w:p>
    <w:tbl>
      <w:tblPr>
        <w:tblStyle w:val="2"/>
        <w:tblW w:w="85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5"/>
        <w:gridCol w:w="1569"/>
        <w:gridCol w:w="3821"/>
        <w:gridCol w:w="14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hint="eastAsia" w:eastAsia="仿宋_GB2312"/>
                <w:b/>
                <w:szCs w:val="21"/>
              </w:rPr>
              <w:t>一级指标</w:t>
            </w:r>
          </w:p>
        </w:tc>
        <w:tc>
          <w:tcPr>
            <w:tcW w:w="1569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hint="eastAsia" w:eastAsia="仿宋_GB2312"/>
                <w:b/>
                <w:szCs w:val="21"/>
              </w:rPr>
              <w:t>二级指标</w:t>
            </w:r>
          </w:p>
        </w:tc>
        <w:tc>
          <w:tcPr>
            <w:tcW w:w="3821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hint="eastAsia" w:eastAsia="仿宋_GB2312"/>
                <w:b/>
                <w:szCs w:val="21"/>
              </w:rPr>
              <w:t>三级指标</w:t>
            </w:r>
          </w:p>
        </w:tc>
        <w:tc>
          <w:tcPr>
            <w:tcW w:w="1483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hint="eastAsia"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restart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产出指标</w:t>
            </w:r>
          </w:p>
        </w:tc>
        <w:tc>
          <w:tcPr>
            <w:tcW w:w="1569" w:type="dxa"/>
            <w:vMerge w:val="restart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数量指标</w:t>
            </w:r>
          </w:p>
        </w:tc>
        <w:tc>
          <w:tcPr>
            <w:tcW w:w="3821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全国学前三年毛入园率</w:t>
            </w:r>
          </w:p>
        </w:tc>
        <w:tc>
          <w:tcPr>
            <w:tcW w:w="1483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≥79%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普惠性学前教育覆盖率</w:t>
            </w:r>
          </w:p>
        </w:tc>
        <w:tc>
          <w:tcPr>
            <w:tcW w:w="1483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≥69%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新增幼儿园数量</w:t>
            </w:r>
          </w:p>
        </w:tc>
        <w:tc>
          <w:tcPr>
            <w:tcW w:w="1483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5000</w:t>
            </w:r>
            <w:r>
              <w:rPr>
                <w:rFonts w:hint="eastAsia" w:eastAsia="仿宋_GB2312"/>
                <w:szCs w:val="21"/>
              </w:rPr>
              <w:t>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支持地方扶持企事业单位、集体办园和普惠性民办园的受益儿童数</w:t>
            </w:r>
          </w:p>
        </w:tc>
        <w:tc>
          <w:tcPr>
            <w:tcW w:w="1483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1000</w:t>
            </w:r>
            <w:r>
              <w:rPr>
                <w:rFonts w:hint="eastAsia" w:eastAsia="仿宋_GB2312"/>
                <w:szCs w:val="21"/>
              </w:rPr>
              <w:t>万人次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资助家庭经济困难幼儿入园数</w:t>
            </w:r>
          </w:p>
        </w:tc>
        <w:tc>
          <w:tcPr>
            <w:tcW w:w="1483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1200</w:t>
            </w:r>
            <w:r>
              <w:rPr>
                <w:rFonts w:hint="eastAsia" w:eastAsia="仿宋_GB2312"/>
                <w:szCs w:val="21"/>
              </w:rPr>
              <w:t>万人次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（该指标仅用于解释说明数量指标的填报。）</w:t>
      </w:r>
    </w:p>
    <w:p>
      <w:pPr>
        <w:widowControl/>
        <w:spacing w:afterLines="50"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13</w:t>
      </w:r>
      <w:r>
        <w:rPr>
          <w:rFonts w:hint="eastAsia" w:eastAsia="仿宋_GB2312"/>
          <w:sz w:val="32"/>
          <w:szCs w:val="32"/>
        </w:rPr>
        <w:t>、质量指标：反映支出方向计划提供产品或服务达到的标准、水平和效果。如退役安置补助资金：</w:t>
      </w:r>
    </w:p>
    <w:tbl>
      <w:tblPr>
        <w:tblStyle w:val="2"/>
        <w:tblW w:w="85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2"/>
        <w:gridCol w:w="1559"/>
        <w:gridCol w:w="3477"/>
        <w:gridCol w:w="1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hint="eastAsia" w:eastAsia="仿宋_GB2312"/>
                <w:b/>
                <w:szCs w:val="21"/>
              </w:rPr>
              <w:t>一级指标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hint="eastAsia" w:eastAsia="仿宋_GB2312"/>
                <w:b/>
                <w:szCs w:val="21"/>
              </w:rPr>
              <w:t>二级指标</w:t>
            </w:r>
          </w:p>
        </w:tc>
        <w:tc>
          <w:tcPr>
            <w:tcW w:w="3477" w:type="dxa"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hint="eastAsia" w:eastAsia="仿宋_GB2312"/>
                <w:b/>
                <w:szCs w:val="21"/>
              </w:rPr>
              <w:t>三级指标</w:t>
            </w:r>
          </w:p>
        </w:tc>
        <w:tc>
          <w:tcPr>
            <w:tcW w:w="1971" w:type="dxa"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hint="eastAsia"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restart"/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产出指标</w:t>
            </w:r>
          </w:p>
        </w:tc>
        <w:tc>
          <w:tcPr>
            <w:tcW w:w="1559" w:type="dxa"/>
            <w:vMerge w:val="restart"/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质量指标</w:t>
            </w:r>
          </w:p>
        </w:tc>
        <w:tc>
          <w:tcPr>
            <w:tcW w:w="3477" w:type="dxa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教育培训参训率</w:t>
            </w:r>
          </w:p>
        </w:tc>
        <w:tc>
          <w:tcPr>
            <w:tcW w:w="1971" w:type="dxa"/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教育培训合格率</w:t>
            </w:r>
          </w:p>
        </w:tc>
        <w:tc>
          <w:tcPr>
            <w:tcW w:w="1971" w:type="dxa"/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教育培训就业率</w:t>
            </w:r>
          </w:p>
        </w:tc>
        <w:tc>
          <w:tcPr>
            <w:tcW w:w="1971" w:type="dxa"/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军休服务房建筑标准</w:t>
            </w:r>
          </w:p>
        </w:tc>
        <w:tc>
          <w:tcPr>
            <w:tcW w:w="1971" w:type="dxa"/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办公用房标准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下拨经费符合相关政策规定比率</w:t>
            </w:r>
          </w:p>
        </w:tc>
        <w:tc>
          <w:tcPr>
            <w:tcW w:w="1971" w:type="dxa"/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100%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（该指标仅用于解释说明质量指标的填报。）</w:t>
      </w:r>
    </w:p>
    <w:p>
      <w:pPr>
        <w:widowControl/>
        <w:spacing w:afterLines="50"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14</w:t>
      </w:r>
      <w:r>
        <w:rPr>
          <w:rFonts w:hint="eastAsia" w:eastAsia="仿宋_GB2312"/>
          <w:sz w:val="32"/>
          <w:szCs w:val="32"/>
        </w:rPr>
        <w:t>、时效指标：反映支出方向计划提供产品或服务的及时程度和效率情况。如优抚对象抚恤补助资金：</w:t>
      </w:r>
    </w:p>
    <w:tbl>
      <w:tblPr>
        <w:tblStyle w:val="2"/>
        <w:tblW w:w="86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0"/>
        <w:gridCol w:w="1406"/>
        <w:gridCol w:w="3195"/>
        <w:gridCol w:w="19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hint="eastAsia" w:eastAsia="仿宋_GB2312"/>
                <w:b/>
                <w:szCs w:val="21"/>
              </w:rPr>
              <w:t>一级指标</w:t>
            </w:r>
          </w:p>
        </w:tc>
        <w:tc>
          <w:tcPr>
            <w:tcW w:w="1406" w:type="dxa"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hint="eastAsia" w:eastAsia="仿宋_GB2312"/>
                <w:b/>
                <w:szCs w:val="21"/>
              </w:rPr>
              <w:t>二级指标</w:t>
            </w:r>
          </w:p>
        </w:tc>
        <w:tc>
          <w:tcPr>
            <w:tcW w:w="3195" w:type="dxa"/>
            <w:vAlign w:val="center"/>
          </w:tcPr>
          <w:p>
            <w:pPr>
              <w:widowControl/>
              <w:ind w:right="-141" w:rightChars="-67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hint="eastAsia" w:eastAsia="仿宋_GB2312"/>
                <w:b/>
                <w:szCs w:val="21"/>
              </w:rPr>
              <w:t>三级指标</w:t>
            </w:r>
          </w:p>
        </w:tc>
        <w:tc>
          <w:tcPr>
            <w:tcW w:w="1941" w:type="dxa"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hint="eastAsia"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vMerge w:val="restart"/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产出指标</w:t>
            </w:r>
          </w:p>
        </w:tc>
        <w:tc>
          <w:tcPr>
            <w:tcW w:w="1406" w:type="dxa"/>
            <w:vMerge w:val="restart"/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时效指标</w:t>
            </w:r>
          </w:p>
        </w:tc>
        <w:tc>
          <w:tcPr>
            <w:tcW w:w="3195" w:type="dxa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优抚对象抚恤补助资金下拨时间</w:t>
            </w:r>
          </w:p>
        </w:tc>
        <w:tc>
          <w:tcPr>
            <w:tcW w:w="1941" w:type="dxa"/>
            <w:vAlign w:val="center"/>
          </w:tcPr>
          <w:p>
            <w:pPr>
              <w:jc w:val="center"/>
              <w:rPr>
                <w:rFonts w:eastAsia="仿宋_GB2312"/>
                <w:szCs w:val="22"/>
              </w:rPr>
            </w:pPr>
            <w:r>
              <w:rPr>
                <w:rFonts w:eastAsia="仿宋_GB2312"/>
                <w:szCs w:val="22"/>
              </w:rPr>
              <w:t>2019</w:t>
            </w:r>
            <w:r>
              <w:rPr>
                <w:rFonts w:hint="eastAsia" w:eastAsia="仿宋_GB2312"/>
                <w:szCs w:val="22"/>
              </w:rPr>
              <w:t>年年底前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vMerge w:val="continue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406" w:type="dxa"/>
            <w:vMerge w:val="continue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195" w:type="dxa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烈士褒扬金下拨标准</w:t>
            </w:r>
          </w:p>
        </w:tc>
        <w:tc>
          <w:tcPr>
            <w:tcW w:w="1941" w:type="dxa"/>
            <w:vAlign w:val="center"/>
          </w:tcPr>
          <w:p>
            <w:pPr>
              <w:jc w:val="center"/>
              <w:rPr>
                <w:rFonts w:eastAsia="仿宋_GB2312"/>
                <w:szCs w:val="22"/>
              </w:rPr>
            </w:pPr>
            <w:r>
              <w:rPr>
                <w:rFonts w:eastAsia="仿宋_GB2312"/>
                <w:szCs w:val="22"/>
              </w:rPr>
              <w:t>2019</w:t>
            </w:r>
            <w:r>
              <w:rPr>
                <w:rFonts w:hint="eastAsia" w:eastAsia="仿宋_GB2312"/>
                <w:szCs w:val="22"/>
              </w:rPr>
              <w:t>年年底前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（该指标仅用于解释说明时效指标的填报。）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15</w:t>
      </w:r>
      <w:r>
        <w:rPr>
          <w:rFonts w:hint="eastAsia" w:eastAsia="仿宋_GB2312"/>
          <w:sz w:val="32"/>
          <w:szCs w:val="32"/>
        </w:rPr>
        <w:t>、成本指标：反映支出方向计划提供产品或服务所需成本。如非物质文化遗产保护资金：</w:t>
      </w:r>
    </w:p>
    <w:tbl>
      <w:tblPr>
        <w:tblStyle w:val="2"/>
        <w:tblW w:w="84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7"/>
        <w:gridCol w:w="1701"/>
        <w:gridCol w:w="3485"/>
        <w:gridCol w:w="17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hint="eastAsia" w:eastAsia="仿宋_GB2312"/>
                <w:b/>
                <w:szCs w:val="21"/>
              </w:rPr>
              <w:t>一级指标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hint="eastAsia" w:eastAsia="仿宋_GB2312"/>
                <w:b/>
                <w:szCs w:val="21"/>
              </w:rPr>
              <w:t>二级指标</w:t>
            </w:r>
          </w:p>
        </w:tc>
        <w:tc>
          <w:tcPr>
            <w:tcW w:w="3485" w:type="dxa"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hint="eastAsia" w:eastAsia="仿宋_GB2312"/>
                <w:b/>
                <w:szCs w:val="21"/>
              </w:rPr>
              <w:t>三级指标</w:t>
            </w:r>
          </w:p>
        </w:tc>
        <w:tc>
          <w:tcPr>
            <w:tcW w:w="1708" w:type="dxa"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hint="eastAsia"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restart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0"/>
                <w:szCs w:val="21"/>
              </w:rPr>
            </w:pPr>
            <w:r>
              <w:rPr>
                <w:rFonts w:hint="eastAsia" w:eastAsia="仿宋_GB2312"/>
                <w:szCs w:val="21"/>
              </w:rPr>
              <w:t>产出</w:t>
            </w:r>
          </w:p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指标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0"/>
                <w:szCs w:val="21"/>
              </w:rPr>
            </w:pPr>
            <w:r>
              <w:rPr>
                <w:rFonts w:hint="eastAsia" w:eastAsia="仿宋_GB2312"/>
                <w:szCs w:val="21"/>
              </w:rPr>
              <w:t>成本</w:t>
            </w:r>
          </w:p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指标</w:t>
            </w:r>
          </w:p>
        </w:tc>
        <w:tc>
          <w:tcPr>
            <w:tcW w:w="3485" w:type="dxa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国家级非遗代表性项目年度重点项目平均补助资金额</w:t>
            </w:r>
          </w:p>
        </w:tc>
        <w:tc>
          <w:tcPr>
            <w:tcW w:w="1708" w:type="dxa"/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≥30</w:t>
            </w:r>
            <w:r>
              <w:rPr>
                <w:rFonts w:hint="eastAsia" w:eastAsia="仿宋_GB2312"/>
                <w:szCs w:val="21"/>
              </w:rPr>
              <w:t>万元</w:t>
            </w:r>
            <w:r>
              <w:rPr>
                <w:rFonts w:eastAsia="仿宋_GB2312"/>
                <w:szCs w:val="21"/>
              </w:rPr>
              <w:t>/</w:t>
            </w:r>
            <w:r>
              <w:rPr>
                <w:rFonts w:hint="eastAsia" w:eastAsia="仿宋_GB2312"/>
                <w:szCs w:val="21"/>
              </w:rPr>
              <w:t>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continue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701" w:type="dxa"/>
            <w:vMerge w:val="continue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85" w:type="dxa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国家级代表性传承人抢救性记录补助金额</w:t>
            </w:r>
          </w:p>
        </w:tc>
        <w:tc>
          <w:tcPr>
            <w:tcW w:w="1708" w:type="dxa"/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40</w:t>
            </w:r>
            <w:r>
              <w:rPr>
                <w:rFonts w:hint="eastAsia" w:eastAsia="仿宋_GB2312"/>
                <w:szCs w:val="21"/>
              </w:rPr>
              <w:t>万元</w:t>
            </w:r>
            <w:r>
              <w:rPr>
                <w:rFonts w:eastAsia="仿宋_GB2312"/>
                <w:szCs w:val="21"/>
              </w:rPr>
              <w:t>/</w:t>
            </w:r>
            <w:r>
              <w:rPr>
                <w:rFonts w:hint="eastAsia" w:eastAsia="仿宋_GB2312"/>
                <w:szCs w:val="21"/>
              </w:rPr>
              <w:t>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continue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701" w:type="dxa"/>
            <w:vMerge w:val="continue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85" w:type="dxa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国家级代表性传承人传承活动补助资金额</w:t>
            </w:r>
          </w:p>
        </w:tc>
        <w:tc>
          <w:tcPr>
            <w:tcW w:w="1708" w:type="dxa"/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2</w:t>
            </w:r>
            <w:r>
              <w:rPr>
                <w:rFonts w:hint="eastAsia" w:eastAsia="仿宋_GB2312"/>
                <w:szCs w:val="21"/>
              </w:rPr>
              <w:t>万元</w:t>
            </w:r>
            <w:r>
              <w:rPr>
                <w:rFonts w:eastAsia="仿宋_GB2312"/>
                <w:szCs w:val="21"/>
              </w:rPr>
              <w:t>/</w:t>
            </w:r>
            <w:r>
              <w:rPr>
                <w:rFonts w:hint="eastAsia" w:eastAsia="仿宋_GB2312"/>
                <w:szCs w:val="21"/>
              </w:rPr>
              <w:t>人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（该指标仅用于解释说明成本指标的填报。）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16</w:t>
      </w:r>
      <w:r>
        <w:rPr>
          <w:rFonts w:hint="eastAsia" w:eastAsia="仿宋_GB2312"/>
          <w:sz w:val="32"/>
          <w:szCs w:val="32"/>
        </w:rPr>
        <w:t>、效益指标：反映与支出方向既定绩效目标相关的、预期结果的实现程度和影响，包括经济效益指标、社会效益指标、生态效益指标、可持续影响指标及社会公众或服务对象满意度指标等。相关的三级指标和指标值参照产出指标的模式填写。该支出方向有什么类型的效益指标就填报该类型的指标，并非经济、社会、生态、可持续影响和满意度指标都要全部填写。</w:t>
      </w:r>
    </w:p>
    <w:p>
      <w:pPr>
        <w:spacing w:line="600" w:lineRule="exact"/>
        <w:rPr>
          <w:rFonts w:eastAsia="仿宋_GB2312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yYWE1NDE0MzNmNTJhZmE4MmMwODY5MDg4NjNmZGEifQ=="/>
  </w:docVars>
  <w:rsids>
    <w:rsidRoot w:val="17A0171D"/>
    <w:rsid w:val="000260A0"/>
    <w:rsid w:val="00044B2C"/>
    <w:rsid w:val="00053459"/>
    <w:rsid w:val="0011379C"/>
    <w:rsid w:val="001730EA"/>
    <w:rsid w:val="001D26EF"/>
    <w:rsid w:val="002754D6"/>
    <w:rsid w:val="004236AD"/>
    <w:rsid w:val="004C4C60"/>
    <w:rsid w:val="00607185"/>
    <w:rsid w:val="00612F17"/>
    <w:rsid w:val="00676CC3"/>
    <w:rsid w:val="006C1436"/>
    <w:rsid w:val="006E4363"/>
    <w:rsid w:val="007173C2"/>
    <w:rsid w:val="00765A98"/>
    <w:rsid w:val="007C09DE"/>
    <w:rsid w:val="00861F0A"/>
    <w:rsid w:val="00891F89"/>
    <w:rsid w:val="008F4E0F"/>
    <w:rsid w:val="00901884"/>
    <w:rsid w:val="009967E0"/>
    <w:rsid w:val="00A11FFF"/>
    <w:rsid w:val="00A51926"/>
    <w:rsid w:val="00C9298B"/>
    <w:rsid w:val="00CA561A"/>
    <w:rsid w:val="00CC1DA9"/>
    <w:rsid w:val="00D404B8"/>
    <w:rsid w:val="00D63905"/>
    <w:rsid w:val="00DA2AD8"/>
    <w:rsid w:val="00ED6AA2"/>
    <w:rsid w:val="00F55F18"/>
    <w:rsid w:val="00FA1F95"/>
    <w:rsid w:val="00FD74ED"/>
    <w:rsid w:val="0EB93A4F"/>
    <w:rsid w:val="17A0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99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5</Pages>
  <Words>2191</Words>
  <Characters>2333</Characters>
  <Lines>0</Lines>
  <Paragraphs>0</Paragraphs>
  <TotalTime>0</TotalTime>
  <ScaleCrop>false</ScaleCrop>
  <LinksUpToDate>false</LinksUpToDate>
  <CharactersWithSpaces>2426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2020-12-30T07:14:00Z</dcterms:created>
  <dc:creator>Administrator</dc:creator>
  <cp:lastModifiedBy>A</cp:lastModifiedBy>
  <dcterms:modified xsi:type="dcterms:W3CDTF">2022-09-06T08:34:52Z</dcterms:modified>
  <dc:title>附件2-1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E5B44C6E78E34A08B777A46579FDA16A</vt:lpwstr>
  </property>
</Properties>
</file>